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68" w:rsidRPr="00575168" w:rsidRDefault="00BB6596" w:rsidP="00B63039">
      <w:pPr>
        <w:pStyle w:val="Heading1"/>
      </w:pPr>
      <w:r>
        <w:t xml:space="preserve">Nursing Hours per Patient Day: </w:t>
      </w:r>
      <w:r w:rsidR="009353D6">
        <w:t xml:space="preserve">  </w:t>
      </w:r>
      <w:r w:rsidR="000758D7">
        <w:t xml:space="preserve">   an overview</w:t>
      </w:r>
    </w:p>
    <w:p w:rsidR="00575168" w:rsidRDefault="00575168" w:rsidP="007C7975">
      <w:pPr>
        <w:pStyle w:val="Heading2"/>
      </w:pPr>
      <w:r w:rsidRPr="00575168">
        <w:t>What is NHPPD?</w:t>
      </w:r>
    </w:p>
    <w:p w:rsidR="000758D7" w:rsidRDefault="000758D7" w:rsidP="000758D7">
      <w:r w:rsidRPr="003E7226">
        <w:t>Nursing Hours per Patient Day</w:t>
      </w:r>
      <w:r>
        <w:t xml:space="preserve"> (NHP</w:t>
      </w:r>
      <w:r w:rsidRPr="003E7226">
        <w:t xml:space="preserve">PD) is the workload monitoring system </w:t>
      </w:r>
      <w:r>
        <w:t>used throughout the WA public health system since its introduction in 2002.</w:t>
      </w:r>
    </w:p>
    <w:p w:rsidR="001575B5" w:rsidRPr="004078BE" w:rsidRDefault="000758D7" w:rsidP="004078BE">
      <w:pPr>
        <w:rPr>
          <w:rFonts w:cs="Arial"/>
          <w:color w:val="333333"/>
          <w:lang w:val="en"/>
        </w:rPr>
      </w:pPr>
      <w:r>
        <w:t>Hospitals and health services are</w:t>
      </w:r>
      <w:r w:rsidRPr="00607B3E">
        <w:t xml:space="preserve"> committed to maintaining a comprehensive workload management </w:t>
      </w:r>
      <w:r>
        <w:t>system</w:t>
      </w:r>
      <w:r w:rsidRPr="00607B3E">
        <w:t xml:space="preserve"> for nurses and midwives in Western Australia under its application of the</w:t>
      </w:r>
      <w:r>
        <w:t xml:space="preserve"> </w:t>
      </w:r>
      <w:r w:rsidRPr="00861904">
        <w:t xml:space="preserve">Nurses (WA Government Health Services) Exceptional Matters </w:t>
      </w:r>
      <w:bookmarkStart w:id="0" w:name="_GoBack"/>
      <w:bookmarkEnd w:id="0"/>
      <w:r w:rsidRPr="00861904">
        <w:t>Order (EMO) 2001</w:t>
      </w:r>
      <w:r>
        <w:t xml:space="preserve"> which is in effect </w:t>
      </w:r>
      <w:r w:rsidRPr="004078BE">
        <w:t xml:space="preserve">via </w:t>
      </w:r>
      <w:r w:rsidR="004078BE" w:rsidRPr="004078BE">
        <w:rPr>
          <w:rFonts w:eastAsiaTheme="minorHAnsi" w:cs="Arial"/>
          <w:color w:val="333333"/>
          <w:szCs w:val="24"/>
          <w:lang w:val="en"/>
        </w:rPr>
        <w:t xml:space="preserve">Section 9, Schedule A and Schedule B of the </w:t>
      </w:r>
      <w:hyperlink r:id="rId9" w:history="1">
        <w:r w:rsidR="004078BE" w:rsidRPr="004078BE">
          <w:rPr>
            <w:rFonts w:eastAsiaTheme="minorHAnsi" w:cs="Arial"/>
            <w:color w:val="0000FF" w:themeColor="hyperlink"/>
            <w:szCs w:val="24"/>
            <w:u w:val="single"/>
            <w:lang w:val="en"/>
          </w:rPr>
          <w:t>WA Health System – Australian Nursing Federation - Registered Nurses, Midwives, Enrolled (Mental Health) and Enrolled (</w:t>
        </w:r>
        <w:proofErr w:type="spellStart"/>
        <w:r w:rsidR="004078BE" w:rsidRPr="004078BE">
          <w:rPr>
            <w:rFonts w:eastAsiaTheme="minorHAnsi" w:cs="Arial"/>
            <w:color w:val="0000FF" w:themeColor="hyperlink"/>
            <w:szCs w:val="24"/>
            <w:u w:val="single"/>
            <w:lang w:val="en"/>
          </w:rPr>
          <w:t>Mothercraft</w:t>
        </w:r>
        <w:proofErr w:type="spellEnd"/>
        <w:r w:rsidR="004078BE" w:rsidRPr="004078BE">
          <w:rPr>
            <w:rFonts w:eastAsiaTheme="minorHAnsi" w:cs="Arial"/>
            <w:color w:val="0000FF" w:themeColor="hyperlink"/>
            <w:szCs w:val="24"/>
            <w:u w:val="single"/>
            <w:lang w:val="en"/>
          </w:rPr>
          <w:t>) Nurses – Industrial Agreement 2016 (PDF 1.17MB)</w:t>
        </w:r>
      </w:hyperlink>
    </w:p>
    <w:p w:rsidR="000758D7" w:rsidRPr="007C197E" w:rsidRDefault="000758D7" w:rsidP="000758D7">
      <w:pPr>
        <w:rPr>
          <w:szCs w:val="24"/>
        </w:rPr>
      </w:pPr>
      <w:r>
        <w:rPr>
          <w:szCs w:val="24"/>
        </w:rPr>
        <w:t>Using i</w:t>
      </w:r>
      <w:r w:rsidRPr="007C197E">
        <w:rPr>
          <w:szCs w:val="24"/>
        </w:rPr>
        <w:t>nformation</w:t>
      </w:r>
      <w:r>
        <w:rPr>
          <w:szCs w:val="24"/>
        </w:rPr>
        <w:t xml:space="preserve"> </w:t>
      </w:r>
      <w:r w:rsidRPr="007C197E">
        <w:rPr>
          <w:szCs w:val="24"/>
        </w:rPr>
        <w:t>sourced from RoStar and bed management systems</w:t>
      </w:r>
      <w:r>
        <w:rPr>
          <w:szCs w:val="24"/>
        </w:rPr>
        <w:t>, t</w:t>
      </w:r>
      <w:r w:rsidRPr="007C197E">
        <w:rPr>
          <w:szCs w:val="24"/>
        </w:rPr>
        <w:t xml:space="preserve">he </w:t>
      </w:r>
      <w:r>
        <w:rPr>
          <w:szCs w:val="24"/>
        </w:rPr>
        <w:t>NHP</w:t>
      </w:r>
      <w:r w:rsidRPr="007C197E">
        <w:rPr>
          <w:szCs w:val="24"/>
        </w:rPr>
        <w:t>PD model provides a systematic</w:t>
      </w:r>
      <w:r>
        <w:rPr>
          <w:szCs w:val="24"/>
        </w:rPr>
        <w:t xml:space="preserve"> and </w:t>
      </w:r>
      <w:r w:rsidRPr="007C197E">
        <w:rPr>
          <w:szCs w:val="24"/>
        </w:rPr>
        <w:t xml:space="preserve">benchmarked </w:t>
      </w:r>
      <w:r>
        <w:rPr>
          <w:szCs w:val="24"/>
        </w:rPr>
        <w:t>measuring and reporting system. NHPPD identifies</w:t>
      </w:r>
      <w:r w:rsidRPr="007C197E">
        <w:rPr>
          <w:szCs w:val="24"/>
        </w:rPr>
        <w:t xml:space="preserve"> and report</w:t>
      </w:r>
      <w:r>
        <w:rPr>
          <w:szCs w:val="24"/>
        </w:rPr>
        <w:t>s</w:t>
      </w:r>
      <w:r w:rsidRPr="007C197E">
        <w:rPr>
          <w:szCs w:val="24"/>
        </w:rPr>
        <w:t xml:space="preserve"> the number of direct nursing</w:t>
      </w:r>
      <w:r>
        <w:rPr>
          <w:szCs w:val="24"/>
        </w:rPr>
        <w:t xml:space="preserve"> and/or </w:t>
      </w:r>
      <w:r w:rsidRPr="007C197E">
        <w:rPr>
          <w:szCs w:val="24"/>
        </w:rPr>
        <w:t xml:space="preserve">midwifery hours required to meet patient care needs in a specific clinical area. </w:t>
      </w:r>
    </w:p>
    <w:p w:rsidR="000758D7" w:rsidRDefault="000758D7" w:rsidP="000758D7">
      <w:pPr>
        <w:rPr>
          <w:szCs w:val="24"/>
        </w:rPr>
      </w:pPr>
      <w:r w:rsidRPr="007C197E">
        <w:rPr>
          <w:szCs w:val="24"/>
        </w:rPr>
        <w:t xml:space="preserve">Nursing and midwifery </w:t>
      </w:r>
      <w:r>
        <w:rPr>
          <w:szCs w:val="24"/>
        </w:rPr>
        <w:t>are</w:t>
      </w:r>
      <w:r w:rsidRPr="007C197E">
        <w:rPr>
          <w:szCs w:val="24"/>
        </w:rPr>
        <w:t xml:space="preserve"> currently the only profession</w:t>
      </w:r>
      <w:r>
        <w:rPr>
          <w:szCs w:val="24"/>
        </w:rPr>
        <w:t>s</w:t>
      </w:r>
      <w:r w:rsidRPr="007C197E">
        <w:rPr>
          <w:szCs w:val="24"/>
        </w:rPr>
        <w:t xml:space="preserve"> </w:t>
      </w:r>
      <w:r>
        <w:rPr>
          <w:szCs w:val="24"/>
        </w:rPr>
        <w:t>with</w:t>
      </w:r>
      <w:r w:rsidRPr="007C197E">
        <w:rPr>
          <w:szCs w:val="24"/>
        </w:rPr>
        <w:t xml:space="preserve">in WA Health </w:t>
      </w:r>
      <w:r>
        <w:rPr>
          <w:szCs w:val="24"/>
        </w:rPr>
        <w:t>to use a workload monitoring and reporting t</w:t>
      </w:r>
      <w:r w:rsidRPr="007C197E">
        <w:rPr>
          <w:szCs w:val="24"/>
        </w:rPr>
        <w:t>ool</w:t>
      </w:r>
      <w:r>
        <w:rPr>
          <w:szCs w:val="24"/>
        </w:rPr>
        <w:t xml:space="preserve"> </w:t>
      </w:r>
      <w:r w:rsidRPr="007C197E">
        <w:rPr>
          <w:szCs w:val="24"/>
        </w:rPr>
        <w:t xml:space="preserve">for </w:t>
      </w:r>
      <w:r>
        <w:rPr>
          <w:szCs w:val="24"/>
        </w:rPr>
        <w:t xml:space="preserve">delivery of </w:t>
      </w:r>
      <w:r w:rsidRPr="007C197E">
        <w:rPr>
          <w:szCs w:val="24"/>
        </w:rPr>
        <w:t xml:space="preserve">direct patient care. </w:t>
      </w:r>
    </w:p>
    <w:p w:rsidR="000758D7" w:rsidRPr="007C197E" w:rsidRDefault="000758D7" w:rsidP="000758D7">
      <w:pPr>
        <w:rPr>
          <w:szCs w:val="24"/>
        </w:rPr>
      </w:pPr>
      <w:r>
        <w:rPr>
          <w:szCs w:val="24"/>
        </w:rPr>
        <w:t>Across a</w:t>
      </w:r>
      <w:r w:rsidRPr="007C197E">
        <w:rPr>
          <w:szCs w:val="24"/>
        </w:rPr>
        <w:t>ll states and territories in Australia and New Zealand</w:t>
      </w:r>
      <w:r>
        <w:rPr>
          <w:szCs w:val="24"/>
        </w:rPr>
        <w:t>,</w:t>
      </w:r>
      <w:r w:rsidRPr="007C197E">
        <w:rPr>
          <w:szCs w:val="24"/>
        </w:rPr>
        <w:t xml:space="preserve"> </w:t>
      </w:r>
      <w:r>
        <w:rPr>
          <w:szCs w:val="24"/>
        </w:rPr>
        <w:t>similar</w:t>
      </w:r>
      <w:r w:rsidRPr="007C197E">
        <w:rPr>
          <w:szCs w:val="24"/>
        </w:rPr>
        <w:t xml:space="preserve"> tool</w:t>
      </w:r>
      <w:r>
        <w:rPr>
          <w:szCs w:val="24"/>
        </w:rPr>
        <w:t xml:space="preserve">s are used </w:t>
      </w:r>
      <w:r w:rsidRPr="007C197E">
        <w:rPr>
          <w:szCs w:val="24"/>
        </w:rPr>
        <w:t>to monitor and report on nursing</w:t>
      </w:r>
      <w:r>
        <w:rPr>
          <w:szCs w:val="24"/>
        </w:rPr>
        <w:t xml:space="preserve"> and/or </w:t>
      </w:r>
      <w:r w:rsidRPr="007C197E">
        <w:rPr>
          <w:szCs w:val="24"/>
        </w:rPr>
        <w:t xml:space="preserve">midwifery workloads. These </w:t>
      </w:r>
      <w:r>
        <w:rPr>
          <w:szCs w:val="24"/>
        </w:rPr>
        <w:t xml:space="preserve">tools </w:t>
      </w:r>
      <w:r w:rsidRPr="007C197E">
        <w:rPr>
          <w:szCs w:val="24"/>
        </w:rPr>
        <w:t xml:space="preserve">are mandated through industrial or legislative </w:t>
      </w:r>
      <w:r>
        <w:rPr>
          <w:szCs w:val="24"/>
        </w:rPr>
        <w:t>agreements</w:t>
      </w:r>
      <w:r w:rsidRPr="007C197E">
        <w:rPr>
          <w:szCs w:val="24"/>
        </w:rPr>
        <w:t>.</w:t>
      </w:r>
    </w:p>
    <w:p w:rsidR="000758D7" w:rsidRDefault="000758D7" w:rsidP="000758D7">
      <w:pPr>
        <w:pStyle w:val="Heading2"/>
        <w:spacing w:line="276" w:lineRule="auto"/>
      </w:pPr>
      <w:r>
        <w:t>Background and development of NHPPD in Western Australia</w:t>
      </w:r>
    </w:p>
    <w:p w:rsidR="000758D7" w:rsidRDefault="000758D7" w:rsidP="000758D7">
      <w:r w:rsidRPr="007C197E">
        <w:t>In the late 1990s</w:t>
      </w:r>
      <w:r>
        <w:t>,</w:t>
      </w:r>
      <w:r w:rsidRPr="007C197E">
        <w:t xml:space="preserve"> safe workload and patient care issues became a significant industrial issue in Australia, culminating in nursing workloads being a </w:t>
      </w:r>
      <w:r>
        <w:t>significant part of</w:t>
      </w:r>
      <w:r w:rsidRPr="007C197E">
        <w:t xml:space="preserve"> industrial negotiations in WA in 2001. </w:t>
      </w:r>
    </w:p>
    <w:p w:rsidR="000758D7" w:rsidRPr="007C197E" w:rsidRDefault="000758D7" w:rsidP="000758D7">
      <w:pPr>
        <w:rPr>
          <w:color w:val="000000"/>
        </w:rPr>
      </w:pPr>
      <w:r w:rsidRPr="007C197E">
        <w:t xml:space="preserve">As a result, </w:t>
      </w:r>
      <w:r w:rsidRPr="007C197E">
        <w:rPr>
          <w:color w:val="000000"/>
        </w:rPr>
        <w:t xml:space="preserve">the Full Bench of the Australian Industrial Relations Commission (AIRC) issued the </w:t>
      </w:r>
      <w:r w:rsidRPr="00A62A54">
        <w:t>Nurses (WA Government Health Services) Exceptional Matters Order (EMO) 2001</w:t>
      </w:r>
      <w:r>
        <w:t>.</w:t>
      </w:r>
    </w:p>
    <w:p w:rsidR="000758D7" w:rsidRPr="007C197E" w:rsidRDefault="000758D7" w:rsidP="000758D7">
      <w:pPr>
        <w:rPr>
          <w:color w:val="000000"/>
        </w:rPr>
      </w:pPr>
      <w:r w:rsidRPr="007C197E">
        <w:rPr>
          <w:color w:val="000000"/>
        </w:rPr>
        <w:t xml:space="preserve">This order was applied until 28 February 2004. When this order expired on 28 February 2004, the EMO provisions continued to be applied </w:t>
      </w:r>
      <w:r>
        <w:rPr>
          <w:color w:val="000000"/>
        </w:rPr>
        <w:t xml:space="preserve">through policy and subsequent industrial agreements. </w:t>
      </w:r>
    </w:p>
    <w:p w:rsidR="000758D7" w:rsidRPr="006B3AC2" w:rsidRDefault="000758D7" w:rsidP="006B3AC2">
      <w:r w:rsidRPr="006B3AC2">
        <w:t xml:space="preserve">A report on the staffing of wards and units covered by the expired order is released six-monthly to the WA Branch of the Australian Nursing Federation (ANFWA), Hospital Salaried Union and United Voice Union. This report is made available </w:t>
      </w:r>
      <w:hyperlink r:id="rId10" w:history="1">
        <w:r w:rsidRPr="006B3AC2">
          <w:rPr>
            <w:rStyle w:val="Hyperlink"/>
            <w:rFonts w:cs="Arial"/>
            <w:szCs w:val="24"/>
          </w:rPr>
          <w:t>here</w:t>
        </w:r>
      </w:hyperlink>
      <w:r w:rsidRPr="006B3AC2">
        <w:t>.</w:t>
      </w:r>
    </w:p>
    <w:p w:rsidR="000758D7" w:rsidRDefault="000758D7" w:rsidP="000758D7">
      <w:pPr>
        <w:pStyle w:val="Heading2"/>
        <w:spacing w:line="276" w:lineRule="auto"/>
      </w:pPr>
      <w:r>
        <w:t>What this means for delivering safe, cost effective patient care</w:t>
      </w:r>
    </w:p>
    <w:p w:rsidR="000758D7" w:rsidRPr="007C197E" w:rsidRDefault="000758D7" w:rsidP="000758D7">
      <w:r w:rsidRPr="007C197E">
        <w:t>One of the most important responsibilities of the nurse/midwife leader is to make decisions on the appropriate way to organise nursing</w:t>
      </w:r>
      <w:r>
        <w:t xml:space="preserve"> and/or </w:t>
      </w:r>
      <w:r w:rsidRPr="007C197E">
        <w:t xml:space="preserve">midwifery care for patients, </w:t>
      </w:r>
      <w:r>
        <w:t xml:space="preserve">while </w:t>
      </w:r>
      <w:r w:rsidRPr="007C197E">
        <w:t xml:space="preserve">ensuring the care is safe and </w:t>
      </w:r>
      <w:r>
        <w:t>the most effective utilisation of resources</w:t>
      </w:r>
      <w:r w:rsidRPr="007C197E">
        <w:t>.</w:t>
      </w:r>
    </w:p>
    <w:p w:rsidR="000758D7" w:rsidRDefault="000758D7" w:rsidP="000758D7">
      <w:r w:rsidRPr="007C197E">
        <w:lastRenderedPageBreak/>
        <w:t>There is a growing body of evidence that links nurse</w:t>
      </w:r>
      <w:r>
        <w:t xml:space="preserve"> and/or </w:t>
      </w:r>
      <w:r w:rsidRPr="007C197E">
        <w:t xml:space="preserve">midwife staffing decisions with the prevention or reduction of a range of </w:t>
      </w:r>
      <w:r>
        <w:t>hospital acquired</w:t>
      </w:r>
      <w:r w:rsidRPr="007C197E">
        <w:t xml:space="preserve"> patient </w:t>
      </w:r>
      <w:r>
        <w:t>conditions. These include:</w:t>
      </w:r>
      <w:r w:rsidRPr="007C197E">
        <w:t xml:space="preserve"> pressure ulcers, falls with injuries, infections, failure to rescue, pneumonia and deep vein thrombosis</w:t>
      </w:r>
      <w:r>
        <w:rPr>
          <w:rStyle w:val="FootnoteReference"/>
          <w:rFonts w:cs="Arial"/>
          <w:szCs w:val="24"/>
        </w:rPr>
        <w:footnoteReference w:id="1"/>
      </w:r>
      <w:r>
        <w:t xml:space="preserve">. </w:t>
      </w:r>
    </w:p>
    <w:p w:rsidR="000758D7" w:rsidRPr="007C197E" w:rsidRDefault="000758D7" w:rsidP="000758D7">
      <w:r w:rsidRPr="007C197E">
        <w:t xml:space="preserve">These largely preventable outcomes can have significant effect on patient morbidity and mortality, length of stay, cost of consumables and the overall cost of the episode of care. </w:t>
      </w:r>
    </w:p>
    <w:p w:rsidR="000758D7" w:rsidRDefault="000758D7" w:rsidP="000758D7">
      <w:r w:rsidRPr="007C197E">
        <w:t xml:space="preserve">There are a number of important factors that are considered in staffing decisions </w:t>
      </w:r>
      <w:r>
        <w:t>including the:</w:t>
      </w:r>
    </w:p>
    <w:p w:rsidR="000758D7" w:rsidRPr="00310969" w:rsidRDefault="000758D7" w:rsidP="000758D7">
      <w:pPr>
        <w:pStyle w:val="ListParagraph"/>
        <w:numPr>
          <w:ilvl w:val="0"/>
          <w:numId w:val="24"/>
        </w:numPr>
      </w:pPr>
      <w:r w:rsidRPr="00310969">
        <w:t>skill mix of rostered nurses and midwives</w:t>
      </w:r>
    </w:p>
    <w:p w:rsidR="000758D7" w:rsidRPr="00310969" w:rsidRDefault="000758D7" w:rsidP="000758D7">
      <w:pPr>
        <w:pStyle w:val="ListParagraph"/>
        <w:numPr>
          <w:ilvl w:val="0"/>
          <w:numId w:val="24"/>
        </w:numPr>
      </w:pPr>
      <w:r w:rsidRPr="00310969">
        <w:t>ratio of clinical nurses/midwives or registered nurses/midwives to enrolled nurses</w:t>
      </w:r>
    </w:p>
    <w:p w:rsidR="000758D7" w:rsidRPr="00310969" w:rsidRDefault="000758D7" w:rsidP="000758D7">
      <w:pPr>
        <w:pStyle w:val="ListParagraph"/>
        <w:numPr>
          <w:ilvl w:val="0"/>
          <w:numId w:val="24"/>
        </w:numPr>
      </w:pPr>
      <w:r w:rsidRPr="00310969">
        <w:t>ratio of novice, experienced and expert nurses/midwives</w:t>
      </w:r>
    </w:p>
    <w:p w:rsidR="000758D7" w:rsidRPr="00310969" w:rsidRDefault="000758D7" w:rsidP="000758D7">
      <w:pPr>
        <w:pStyle w:val="ListParagraph"/>
        <w:numPr>
          <w:ilvl w:val="0"/>
          <w:numId w:val="24"/>
        </w:numPr>
      </w:pPr>
      <w:r w:rsidRPr="00310969">
        <w:t>acuity of patients</w:t>
      </w:r>
      <w:r>
        <w:t>, exceptional patient safety or management considerations</w:t>
      </w:r>
    </w:p>
    <w:p w:rsidR="000758D7" w:rsidRPr="00310969" w:rsidRDefault="000758D7" w:rsidP="000758D7">
      <w:pPr>
        <w:pStyle w:val="ListParagraph"/>
        <w:numPr>
          <w:ilvl w:val="0"/>
          <w:numId w:val="24"/>
        </w:numPr>
      </w:pPr>
      <w:r w:rsidRPr="00310969">
        <w:t>ward activity information such as predicted occupancy</w:t>
      </w:r>
    </w:p>
    <w:p w:rsidR="000758D7" w:rsidRPr="00310969" w:rsidRDefault="000758D7" w:rsidP="000758D7">
      <w:pPr>
        <w:pStyle w:val="ListParagraph"/>
        <w:numPr>
          <w:ilvl w:val="0"/>
          <w:numId w:val="24"/>
        </w:numPr>
      </w:pPr>
      <w:r w:rsidRPr="00310969">
        <w:t>supervision requirements of novice staff and students</w:t>
      </w:r>
    </w:p>
    <w:p w:rsidR="000758D7" w:rsidRPr="00310969" w:rsidRDefault="000758D7" w:rsidP="000758D7">
      <w:pPr>
        <w:pStyle w:val="ListParagraph"/>
        <w:numPr>
          <w:ilvl w:val="0"/>
          <w:numId w:val="24"/>
        </w:numPr>
      </w:pPr>
      <w:r w:rsidRPr="00310969">
        <w:t>appropriate shift coordination and management.</w:t>
      </w:r>
    </w:p>
    <w:p w:rsidR="000758D7" w:rsidRDefault="000758D7" w:rsidP="000758D7">
      <w:pPr>
        <w:pStyle w:val="Heading2"/>
        <w:spacing w:line="276" w:lineRule="auto"/>
        <w:rPr>
          <w:rFonts w:eastAsia="Calibri"/>
        </w:rPr>
      </w:pPr>
      <w:r>
        <w:rPr>
          <w:rFonts w:eastAsia="Calibri"/>
        </w:rPr>
        <w:t>Related fact sheets</w:t>
      </w:r>
    </w:p>
    <w:p w:rsidR="000758D7" w:rsidRPr="000758D7" w:rsidRDefault="004078BE" w:rsidP="000758D7">
      <w:pPr>
        <w:pStyle w:val="ListParagraph"/>
        <w:numPr>
          <w:ilvl w:val="0"/>
          <w:numId w:val="25"/>
        </w:numPr>
        <w:spacing w:before="240" w:after="60" w:line="276" w:lineRule="auto"/>
        <w:rPr>
          <w:rFonts w:cs="Arial"/>
        </w:rPr>
      </w:pPr>
      <w:hyperlink r:id="rId11" w:history="1">
        <w:r w:rsidR="000758D7" w:rsidRPr="00B3661C">
          <w:rPr>
            <w:rStyle w:val="Hyperlink"/>
            <w:rFonts w:cs="Arial"/>
          </w:rPr>
          <w:t>Nursing Hours per Patient Day: how is it used?</w:t>
        </w:r>
      </w:hyperlink>
      <w:r w:rsidR="000758D7" w:rsidRPr="000758D7">
        <w:rPr>
          <w:rFonts w:cs="Arial"/>
        </w:rPr>
        <w:t xml:space="preserve"> </w:t>
      </w:r>
    </w:p>
    <w:p w:rsidR="000758D7" w:rsidRDefault="000758D7" w:rsidP="000758D7">
      <w:pPr>
        <w:pStyle w:val="Heading2"/>
        <w:spacing w:line="276" w:lineRule="auto"/>
      </w:pPr>
      <w:r>
        <w:t>Further information</w:t>
      </w:r>
    </w:p>
    <w:p w:rsidR="000758D7" w:rsidRPr="003E7226" w:rsidRDefault="000758D7" w:rsidP="000758D7">
      <w:r w:rsidRPr="003E7226">
        <w:t xml:space="preserve">Further information on workload management, benchmarking and reporting can be found </w:t>
      </w:r>
      <w:hyperlink r:id="rId12" w:history="1">
        <w:r w:rsidRPr="00E9706D">
          <w:rPr>
            <w:rStyle w:val="Hyperlink"/>
            <w:rFonts w:cs="Arial"/>
          </w:rPr>
          <w:t>here</w:t>
        </w:r>
      </w:hyperlink>
      <w:r>
        <w:t>.</w:t>
      </w:r>
    </w:p>
    <w:p w:rsidR="00BB6596" w:rsidRDefault="00BB6596" w:rsidP="00B63039"/>
    <w:p w:rsidR="00BB6596" w:rsidRDefault="00BB6596" w:rsidP="00B63039"/>
    <w:p w:rsidR="00BB6596" w:rsidRDefault="00BB6596" w:rsidP="00B63039"/>
    <w:p w:rsidR="00BB6596" w:rsidRDefault="00BB6596" w:rsidP="00B63039"/>
    <w:p w:rsidR="00BB6596" w:rsidRDefault="00BB6596" w:rsidP="00B63039"/>
    <w:p w:rsidR="00BB6596" w:rsidRDefault="00BB6596" w:rsidP="00B63039"/>
    <w:p w:rsidR="00BB6596" w:rsidRDefault="006B3AC2" w:rsidP="00B63039">
      <w:r w:rsidRPr="006B3AC2">
        <w:rPr>
          <w:rStyle w:val="FootnoteReference"/>
          <w:sz w:val="20"/>
          <w:szCs w:val="20"/>
        </w:rPr>
        <w:footnoteRef/>
      </w:r>
      <w:r w:rsidRPr="006B3AC2">
        <w:rPr>
          <w:sz w:val="20"/>
          <w:szCs w:val="20"/>
        </w:rPr>
        <w:t xml:space="preserve"> Twigg D, Duffield C et al (2010) </w:t>
      </w:r>
      <w:proofErr w:type="gramStart"/>
      <w:r w:rsidRPr="006B3AC2">
        <w:rPr>
          <w:sz w:val="20"/>
          <w:szCs w:val="20"/>
        </w:rPr>
        <w:t>The</w:t>
      </w:r>
      <w:proofErr w:type="gramEnd"/>
      <w:r w:rsidRPr="006B3AC2">
        <w:rPr>
          <w:sz w:val="20"/>
          <w:szCs w:val="20"/>
        </w:rPr>
        <w:t xml:space="preserve"> impact of the nursing hours per patient day staffing methodology on patient outcomes: A retrospective analysis of patient and staffing data. </w:t>
      </w:r>
      <w:hyperlink r:id="rId13" w:history="1">
        <w:r w:rsidRPr="006B3AC2">
          <w:rPr>
            <w:rStyle w:val="Hyperlink"/>
            <w:sz w:val="20"/>
            <w:szCs w:val="20"/>
          </w:rPr>
          <w:t>http://ro.ecu.edu.au/ecuworks/6277</w:t>
        </w:r>
      </w:hyperlink>
    </w:p>
    <w:p w:rsidR="006B3AC2" w:rsidRDefault="006B3AC2" w:rsidP="00B63039">
      <w:pPr>
        <w:spacing w:after="300"/>
        <w:ind w:right="-1"/>
      </w:pPr>
    </w:p>
    <w:p w:rsidR="00B63039" w:rsidRDefault="00B63039" w:rsidP="00B63039">
      <w:pPr>
        <w:spacing w:after="300"/>
        <w:ind w:right="-1"/>
      </w:pPr>
      <w:r>
        <w:t>© Nursing and Midwifery Office, WA Department of Health 201</w:t>
      </w:r>
      <w:r w:rsidR="001575B5">
        <w:t>7</w:t>
      </w:r>
    </w:p>
    <w:p w:rsidR="00B63039" w:rsidRDefault="00B63039" w:rsidP="00B63039">
      <w:pPr>
        <w:pStyle w:val="TEXT"/>
        <w:spacing w:line="240" w:lineRule="auto"/>
        <w:ind w:right="-1"/>
        <w:rPr>
          <w:rFonts w:ascii="Arial" w:hAnsi="Arial"/>
          <w:sz w:val="22"/>
          <w:szCs w:val="22"/>
        </w:rPr>
      </w:pPr>
      <w:r w:rsidRPr="0000010A">
        <w:rPr>
          <w:rFonts w:ascii="Arial" w:hAnsi="Arial"/>
          <w:sz w:val="22"/>
          <w:szCs w:val="22"/>
        </w:rPr>
        <w:t>Copyright to this material is vested in the State of Western Australia unless otherwise indicated. Apart from any fair dealing for the purposes of priv</w:t>
      </w:r>
      <w:r>
        <w:rPr>
          <w:rFonts w:ascii="Arial" w:hAnsi="Arial"/>
          <w:sz w:val="22"/>
          <w:szCs w:val="22"/>
        </w:rPr>
        <w:t xml:space="preserve">ate study, research, criticism </w:t>
      </w:r>
      <w:r w:rsidRPr="0000010A">
        <w:rPr>
          <w:rFonts w:ascii="Arial" w:hAnsi="Arial"/>
          <w:sz w:val="22"/>
          <w:szCs w:val="22"/>
        </w:rPr>
        <w:t xml:space="preserve">or review, as permitted under the provisions of the </w:t>
      </w:r>
      <w:r w:rsidRPr="0000010A">
        <w:rPr>
          <w:rFonts w:ascii="Arial" w:hAnsi="Arial" w:cs="ArialMTStd-Italic"/>
          <w:i/>
          <w:iCs/>
          <w:sz w:val="22"/>
          <w:szCs w:val="22"/>
        </w:rPr>
        <w:t>Copyright Act 1968</w:t>
      </w:r>
      <w:r w:rsidRPr="0000010A">
        <w:rPr>
          <w:rFonts w:ascii="Arial" w:hAnsi="Arial"/>
          <w:sz w:val="22"/>
          <w:szCs w:val="22"/>
        </w:rPr>
        <w:t>, no part may be reproduced or re-used for any purposes whatsoever without written permission of the State of Western Australia.</w:t>
      </w:r>
    </w:p>
    <w:p w:rsidR="00B63039" w:rsidRPr="00BB6596" w:rsidRDefault="00B63039" w:rsidP="00BB6596">
      <w:pPr>
        <w:pStyle w:val="TEXT"/>
        <w:spacing w:line="240" w:lineRule="auto"/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n-AU" w:eastAsia="en-AU"/>
        </w:rPr>
        <w:drawing>
          <wp:inline distT="0" distB="0" distL="0" distR="0" wp14:anchorId="27CAB53A" wp14:editId="26972DB7">
            <wp:extent cx="6684010" cy="1631901"/>
            <wp:effectExtent l="0" t="0" r="254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he72200\Desktop\Swoosh Blue 29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163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039" w:rsidRPr="00BB6596" w:rsidSect="007C7975">
      <w:footerReference w:type="default" r:id="rId15"/>
      <w:headerReference w:type="first" r:id="rId16"/>
      <w:type w:val="continuous"/>
      <w:pgSz w:w="11906" w:h="16838" w:code="9"/>
      <w:pgMar w:top="680" w:right="680" w:bottom="680" w:left="680" w:header="680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74" w:rsidRDefault="00F21A74" w:rsidP="0013662A">
      <w:pPr>
        <w:spacing w:after="0"/>
      </w:pPr>
      <w:r>
        <w:separator/>
      </w:r>
    </w:p>
  </w:endnote>
  <w:endnote w:type="continuationSeparator" w:id="0">
    <w:p w:rsidR="00F21A74" w:rsidRDefault="00F21A74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20B0402020200020204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20B0402020200020204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158239"/>
      <w:docPartObj>
        <w:docPartGallery w:val="Page Numbers (Bottom of Page)"/>
        <w:docPartUnique/>
      </w:docPartObj>
    </w:sdtPr>
    <w:sdtEndPr>
      <w:rPr>
        <w:rFonts w:ascii="Arial MT Std" w:hAnsi="Arial MT Std"/>
        <w:noProof/>
      </w:rPr>
    </w:sdtEndPr>
    <w:sdtContent>
      <w:p w:rsidR="00BB6596" w:rsidRPr="00BB6596" w:rsidRDefault="00BB6596">
        <w:pPr>
          <w:pStyle w:val="Footer"/>
          <w:jc w:val="right"/>
          <w:rPr>
            <w:rFonts w:ascii="Arial MT Std" w:hAnsi="Arial MT Std"/>
          </w:rPr>
        </w:pPr>
        <w:r w:rsidRPr="00BB6596">
          <w:rPr>
            <w:rFonts w:ascii="Arial MT Std" w:hAnsi="Arial MT Std"/>
          </w:rPr>
          <w:fldChar w:fldCharType="begin"/>
        </w:r>
        <w:r w:rsidRPr="00BB6596">
          <w:rPr>
            <w:rFonts w:ascii="Arial MT Std" w:hAnsi="Arial MT Std"/>
          </w:rPr>
          <w:instrText xml:space="preserve"> PAGE   \* MERGEFORMAT </w:instrText>
        </w:r>
        <w:r w:rsidRPr="00BB6596">
          <w:rPr>
            <w:rFonts w:ascii="Arial MT Std" w:hAnsi="Arial MT Std"/>
          </w:rPr>
          <w:fldChar w:fldCharType="separate"/>
        </w:r>
        <w:r w:rsidR="004078BE">
          <w:rPr>
            <w:rFonts w:ascii="Arial MT Std" w:hAnsi="Arial MT Std"/>
            <w:noProof/>
          </w:rPr>
          <w:t>2</w:t>
        </w:r>
        <w:r w:rsidRPr="00BB6596">
          <w:rPr>
            <w:rFonts w:ascii="Arial MT Std" w:hAnsi="Arial MT Std"/>
            <w:noProof/>
          </w:rPr>
          <w:fldChar w:fldCharType="end"/>
        </w:r>
      </w:p>
    </w:sdtContent>
  </w:sdt>
  <w:p w:rsidR="00B63039" w:rsidRDefault="00B630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74" w:rsidRDefault="00F21A74" w:rsidP="0013662A">
      <w:pPr>
        <w:spacing w:after="0"/>
      </w:pPr>
      <w:r>
        <w:separator/>
      </w:r>
    </w:p>
  </w:footnote>
  <w:footnote w:type="continuationSeparator" w:id="0">
    <w:p w:rsidR="00F21A74" w:rsidRDefault="00F21A74" w:rsidP="0013662A">
      <w:pPr>
        <w:spacing w:after="0"/>
      </w:pPr>
      <w:r>
        <w:continuationSeparator/>
      </w:r>
    </w:p>
  </w:footnote>
  <w:footnote w:id="1">
    <w:p w:rsidR="000758D7" w:rsidRPr="006B3AC2" w:rsidRDefault="000758D7" w:rsidP="000758D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74" w:rsidRPr="00F21A74" w:rsidRDefault="00F21A74" w:rsidP="00F21A74">
    <w:r>
      <w:rPr>
        <w:noProof/>
        <w:lang w:eastAsia="en-AU"/>
      </w:rPr>
      <w:drawing>
        <wp:inline distT="0" distB="0" distL="0" distR="0" wp14:anchorId="5BE0B19C" wp14:editId="560A9AC4">
          <wp:extent cx="3155315" cy="734060"/>
          <wp:effectExtent l="0" t="0" r="6985" b="8890"/>
          <wp:docPr id="96" name="Picture 10" descr="W:\Health Reform\EPG\NMO\Marketing\Logos\1 NMO Logos\NURSING_AND_MIDWIFERY_OFFIC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:\Health Reform\EPG\NMO\Marketing\Logos\1 NMO Logos\NURSING_AND_MIDWIFERY_OFFIC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31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en-AU"/>
      </w:rPr>
      <w:drawing>
        <wp:inline distT="0" distB="0" distL="0" distR="0" wp14:anchorId="6FE03D06" wp14:editId="0891F7A2">
          <wp:extent cx="721360" cy="850265"/>
          <wp:effectExtent l="0" t="0" r="2540" b="6985"/>
          <wp:docPr id="9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AU"/>
      </w:rPr>
      <w:drawing>
        <wp:inline distT="0" distB="0" distL="0" distR="0" wp14:anchorId="62D5BD45" wp14:editId="3CCADB7B">
          <wp:extent cx="566420" cy="721360"/>
          <wp:effectExtent l="0" t="0" r="5080" b="2540"/>
          <wp:docPr id="9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AU"/>
      </w:rPr>
      <w:drawing>
        <wp:inline distT="0" distB="0" distL="0" distR="0" wp14:anchorId="4D52C83D" wp14:editId="7BD89BBB">
          <wp:extent cx="576263" cy="723633"/>
          <wp:effectExtent l="0" t="0" r="0" b="635"/>
          <wp:docPr id="9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88" cy="725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AU"/>
      </w:rPr>
      <w:drawing>
        <wp:inline distT="0" distB="0" distL="0" distR="0" wp14:anchorId="3FDB5164" wp14:editId="5BCE37ED">
          <wp:extent cx="596543" cy="732304"/>
          <wp:effectExtent l="0" t="0" r="0" b="0"/>
          <wp:docPr id="88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80" cy="73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07"/>
    <w:multiLevelType w:val="hybridMultilevel"/>
    <w:tmpl w:val="8264C4D2"/>
    <w:lvl w:ilvl="0" w:tplc="47C82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5489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A14F9"/>
    <w:multiLevelType w:val="hybridMultilevel"/>
    <w:tmpl w:val="B3380F5E"/>
    <w:lvl w:ilvl="0" w:tplc="47C82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5489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10994"/>
    <w:multiLevelType w:val="hybridMultilevel"/>
    <w:tmpl w:val="61B279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2F5537"/>
    <w:multiLevelType w:val="hybridMultilevel"/>
    <w:tmpl w:val="CF08F4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07CD3"/>
    <w:multiLevelType w:val="hybridMultilevel"/>
    <w:tmpl w:val="FD16FE66"/>
    <w:lvl w:ilvl="0" w:tplc="47C82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5489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B4517"/>
    <w:multiLevelType w:val="hybridMultilevel"/>
    <w:tmpl w:val="9522B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B4C44"/>
    <w:multiLevelType w:val="hybridMultilevel"/>
    <w:tmpl w:val="1A4E815E"/>
    <w:lvl w:ilvl="0" w:tplc="47C82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5489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313BF"/>
    <w:multiLevelType w:val="hybridMultilevel"/>
    <w:tmpl w:val="4AF635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7574C5"/>
    <w:multiLevelType w:val="hybridMultilevel"/>
    <w:tmpl w:val="EA22E2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BB2D62"/>
    <w:multiLevelType w:val="hybridMultilevel"/>
    <w:tmpl w:val="75B635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D0781E"/>
    <w:multiLevelType w:val="hybridMultilevel"/>
    <w:tmpl w:val="E0300DB4"/>
    <w:lvl w:ilvl="0" w:tplc="47C82E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95489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D334E8"/>
    <w:multiLevelType w:val="hybridMultilevel"/>
    <w:tmpl w:val="D590AD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EF7B1B"/>
    <w:multiLevelType w:val="hybridMultilevel"/>
    <w:tmpl w:val="26D4FC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9D020A"/>
    <w:multiLevelType w:val="hybridMultilevel"/>
    <w:tmpl w:val="BE008E56"/>
    <w:lvl w:ilvl="0" w:tplc="01B28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B6C"/>
        <w:sz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A62F66"/>
    <w:multiLevelType w:val="hybridMultilevel"/>
    <w:tmpl w:val="33826B28"/>
    <w:lvl w:ilvl="0" w:tplc="47C82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5489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1252A"/>
    <w:multiLevelType w:val="hybridMultilevel"/>
    <w:tmpl w:val="EC260E62"/>
    <w:lvl w:ilvl="0" w:tplc="47C82E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95489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75135B"/>
    <w:multiLevelType w:val="hybridMultilevel"/>
    <w:tmpl w:val="7944BE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FC1F87"/>
    <w:multiLevelType w:val="hybridMultilevel"/>
    <w:tmpl w:val="853E234E"/>
    <w:lvl w:ilvl="0" w:tplc="47C82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5489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63A1A"/>
    <w:multiLevelType w:val="hybridMultilevel"/>
    <w:tmpl w:val="47F2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77C6B"/>
    <w:multiLevelType w:val="hybridMultilevel"/>
    <w:tmpl w:val="B1161C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B2E21"/>
    <w:multiLevelType w:val="hybridMultilevel"/>
    <w:tmpl w:val="A4F83D94"/>
    <w:lvl w:ilvl="0" w:tplc="47C82E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95489"/>
        <w:sz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005AF3"/>
    <w:multiLevelType w:val="hybridMultilevel"/>
    <w:tmpl w:val="B4665C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0B3A10"/>
    <w:multiLevelType w:val="hybridMultilevel"/>
    <w:tmpl w:val="9392B6F2"/>
    <w:lvl w:ilvl="0" w:tplc="47C82E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95489"/>
        <w:sz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6"/>
  </w:num>
  <w:num w:numId="4">
    <w:abstractNumId w:val="13"/>
  </w:num>
  <w:num w:numId="5">
    <w:abstractNumId w:val="23"/>
  </w:num>
  <w:num w:numId="6">
    <w:abstractNumId w:val="7"/>
  </w:num>
  <w:num w:numId="7">
    <w:abstractNumId w:val="21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20"/>
  </w:num>
  <w:num w:numId="15">
    <w:abstractNumId w:val="22"/>
  </w:num>
  <w:num w:numId="16">
    <w:abstractNumId w:val="15"/>
  </w:num>
  <w:num w:numId="17">
    <w:abstractNumId w:val="14"/>
  </w:num>
  <w:num w:numId="18">
    <w:abstractNumId w:val="4"/>
  </w:num>
  <w:num w:numId="19">
    <w:abstractNumId w:val="0"/>
  </w:num>
  <w:num w:numId="20">
    <w:abstractNumId w:val="19"/>
  </w:num>
  <w:num w:numId="21">
    <w:abstractNumId w:val="17"/>
  </w:num>
  <w:num w:numId="22">
    <w:abstractNumId w:val="6"/>
  </w:num>
  <w:num w:numId="23">
    <w:abstractNumId w:val="5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74"/>
    <w:rsid w:val="00022D93"/>
    <w:rsid w:val="000758D7"/>
    <w:rsid w:val="000817F3"/>
    <w:rsid w:val="0013662A"/>
    <w:rsid w:val="001437E0"/>
    <w:rsid w:val="001575B5"/>
    <w:rsid w:val="00171B7B"/>
    <w:rsid w:val="001C7D1F"/>
    <w:rsid w:val="001F6030"/>
    <w:rsid w:val="001F68E9"/>
    <w:rsid w:val="00220E8F"/>
    <w:rsid w:val="002C7D7D"/>
    <w:rsid w:val="002E5F5B"/>
    <w:rsid w:val="00352111"/>
    <w:rsid w:val="00355004"/>
    <w:rsid w:val="003929E7"/>
    <w:rsid w:val="004078BE"/>
    <w:rsid w:val="004316D7"/>
    <w:rsid w:val="004638E4"/>
    <w:rsid w:val="00466DB9"/>
    <w:rsid w:val="00471692"/>
    <w:rsid w:val="00492C70"/>
    <w:rsid w:val="004A609E"/>
    <w:rsid w:val="004C2780"/>
    <w:rsid w:val="004C27CB"/>
    <w:rsid w:val="004C6976"/>
    <w:rsid w:val="00521D1A"/>
    <w:rsid w:val="0056716B"/>
    <w:rsid w:val="00575168"/>
    <w:rsid w:val="00597A85"/>
    <w:rsid w:val="005A409E"/>
    <w:rsid w:val="005D455D"/>
    <w:rsid w:val="00612863"/>
    <w:rsid w:val="006A1853"/>
    <w:rsid w:val="006B3AC2"/>
    <w:rsid w:val="006F1E2D"/>
    <w:rsid w:val="006F52D0"/>
    <w:rsid w:val="00753150"/>
    <w:rsid w:val="0077027C"/>
    <w:rsid w:val="007C7975"/>
    <w:rsid w:val="007D3AE7"/>
    <w:rsid w:val="007D793C"/>
    <w:rsid w:val="00881846"/>
    <w:rsid w:val="00882643"/>
    <w:rsid w:val="00897837"/>
    <w:rsid w:val="008A5D3D"/>
    <w:rsid w:val="008E3665"/>
    <w:rsid w:val="008F7FE4"/>
    <w:rsid w:val="009268E4"/>
    <w:rsid w:val="00930DF8"/>
    <w:rsid w:val="00933CEB"/>
    <w:rsid w:val="009353D6"/>
    <w:rsid w:val="009668ED"/>
    <w:rsid w:val="00981DA1"/>
    <w:rsid w:val="00990D6C"/>
    <w:rsid w:val="009B0844"/>
    <w:rsid w:val="00A5579F"/>
    <w:rsid w:val="00A91C4C"/>
    <w:rsid w:val="00AA1620"/>
    <w:rsid w:val="00AD2403"/>
    <w:rsid w:val="00AF0C79"/>
    <w:rsid w:val="00B17ECC"/>
    <w:rsid w:val="00B3661C"/>
    <w:rsid w:val="00B63039"/>
    <w:rsid w:val="00B85FD3"/>
    <w:rsid w:val="00BB5682"/>
    <w:rsid w:val="00BB6596"/>
    <w:rsid w:val="00BD41EB"/>
    <w:rsid w:val="00BD7C33"/>
    <w:rsid w:val="00BE3C2D"/>
    <w:rsid w:val="00C7143D"/>
    <w:rsid w:val="00C729CE"/>
    <w:rsid w:val="00CF2778"/>
    <w:rsid w:val="00CF64E2"/>
    <w:rsid w:val="00D147D4"/>
    <w:rsid w:val="00D452D7"/>
    <w:rsid w:val="00D5563C"/>
    <w:rsid w:val="00D636EE"/>
    <w:rsid w:val="00D9301F"/>
    <w:rsid w:val="00DD22D0"/>
    <w:rsid w:val="00DE4BFE"/>
    <w:rsid w:val="00E17F51"/>
    <w:rsid w:val="00E40563"/>
    <w:rsid w:val="00E47483"/>
    <w:rsid w:val="00F21A74"/>
    <w:rsid w:val="00F647BD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B63039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="Times New Roman"/>
      <w:bCs/>
      <w:color w:val="095489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="Times New Roman"/>
      <w:b/>
      <w:bCs/>
      <w:color w:val="095489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="Times New Roman"/>
      <w:b/>
      <w:bCs/>
      <w:color w:val="095489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753150"/>
    <w:rPr>
      <w:rFonts w:ascii="Arial" w:eastAsia="Times New Roman" w:hAnsi="Arial" w:cs="Times New Roman"/>
      <w:bCs/>
      <w:color w:val="095489"/>
      <w:sz w:val="64"/>
      <w:szCs w:val="28"/>
    </w:rPr>
  </w:style>
  <w:style w:type="character" w:customStyle="1" w:styleId="Heading2Char">
    <w:name w:val="Heading 2 Char"/>
    <w:link w:val="Heading2"/>
    <w:uiPriority w:val="9"/>
    <w:rsid w:val="002E5F5B"/>
    <w:rPr>
      <w:rFonts w:ascii="Arial" w:eastAsia="Times New Roman" w:hAnsi="Arial" w:cs="Times New Roman"/>
      <w:b/>
      <w:bCs/>
      <w:color w:val="095489"/>
      <w:sz w:val="30"/>
      <w:szCs w:val="26"/>
    </w:rPr>
  </w:style>
  <w:style w:type="character" w:customStyle="1" w:styleId="Heading3Char">
    <w:name w:val="Heading 3 Char"/>
    <w:link w:val="Heading3"/>
    <w:uiPriority w:val="9"/>
    <w:rsid w:val="0013662A"/>
    <w:rPr>
      <w:rFonts w:ascii="Arial" w:eastAsia="Times New Roman" w:hAnsi="Arial" w:cs="Times New Roman"/>
      <w:b/>
      <w:bCs/>
      <w:color w:val="095489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063E66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/>
          <w:left w:val="nil"/>
          <w:bottom w:val="single" w:sz="8" w:space="0" w:color="09548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/>
          <w:left w:val="nil"/>
          <w:bottom w:val="single" w:sz="8" w:space="0" w:color="09548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095489"/>
        <w:left w:val="single" w:sz="8" w:space="0" w:color="095489"/>
        <w:bottom w:val="single" w:sz="8" w:space="0" w:color="095489"/>
        <w:right w:val="single" w:sz="8" w:space="0" w:color="09548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9548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  <w:tblStylePr w:type="band1Horz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063E66"/>
    </w:rPr>
    <w:tblPr>
      <w:tblStyleRowBandSize w:val="1"/>
      <w:tblStyleColBandSize w:val="1"/>
      <w:tblBorders>
        <w:top w:val="single" w:sz="8" w:space="0" w:color="095489"/>
        <w:bottom w:val="single" w:sz="8" w:space="0" w:color="09548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/>
          <w:left w:val="nil"/>
          <w:bottom w:val="single" w:sz="8" w:space="0" w:color="09548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/>
          <w:left w:val="nil"/>
          <w:bottom w:val="single" w:sz="8" w:space="0" w:color="09548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09548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  <w:tblStylePr w:type="band1Horz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095489"/>
        <w:left w:val="single" w:sz="8" w:space="0" w:color="095489"/>
        <w:bottom w:val="single" w:sz="8" w:space="0" w:color="095489"/>
        <w:right w:val="single" w:sz="8" w:space="0" w:color="095489"/>
        <w:insideH w:val="single" w:sz="8" w:space="0" w:color="095489"/>
        <w:insideV w:val="single" w:sz="8" w:space="0" w:color="09548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95489"/>
          <w:left w:val="single" w:sz="8" w:space="0" w:color="095489"/>
          <w:bottom w:val="single" w:sz="18" w:space="0" w:color="095489"/>
          <w:right w:val="single" w:sz="8" w:space="0" w:color="095489"/>
          <w:insideH w:val="nil"/>
          <w:insideV w:val="single" w:sz="8" w:space="0" w:color="09548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95489"/>
          <w:left w:val="single" w:sz="8" w:space="0" w:color="095489"/>
          <w:bottom w:val="single" w:sz="8" w:space="0" w:color="095489"/>
          <w:right w:val="single" w:sz="8" w:space="0" w:color="095489"/>
          <w:insideH w:val="nil"/>
          <w:insideV w:val="single" w:sz="8" w:space="0" w:color="09548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  <w:tblStylePr w:type="band1Vert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  <w:shd w:val="clear" w:color="auto" w:fill="AAD8F9"/>
      </w:tcPr>
    </w:tblStylePr>
    <w:tblStylePr w:type="band1Horz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  <w:insideV w:val="single" w:sz="8" w:space="0" w:color="095489"/>
        </w:tcBorders>
        <w:shd w:val="clear" w:color="auto" w:fill="AAD8F9"/>
      </w:tcPr>
    </w:tblStylePr>
    <w:tblStylePr w:type="band2Horz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  <w:insideV w:val="single" w:sz="8" w:space="0" w:color="095489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095489"/>
          <w:left w:val="single" w:sz="8" w:space="0" w:color="095489"/>
          <w:bottom w:val="single" w:sz="18" w:space="0" w:color="095489"/>
          <w:right w:val="single" w:sz="8" w:space="0" w:color="095489"/>
          <w:insideH w:val="nil"/>
          <w:insideV w:val="single" w:sz="8" w:space="0" w:color="09548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95489"/>
          <w:left w:val="single" w:sz="8" w:space="0" w:color="095489"/>
          <w:bottom w:val="single" w:sz="8" w:space="0" w:color="095489"/>
          <w:right w:val="single" w:sz="8" w:space="0" w:color="095489"/>
          <w:insideH w:val="nil"/>
          <w:insideV w:val="single" w:sz="8" w:space="0" w:color="09548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  <w:tblStylePr w:type="band1Vert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  <w:shd w:val="clear" w:color="auto" w:fill="AAD8F9"/>
      </w:tcPr>
    </w:tblStylePr>
    <w:tblStylePr w:type="band1Horz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  <w:insideV w:val="single" w:sz="8" w:space="0" w:color="095489"/>
        </w:tcBorders>
        <w:shd w:val="clear" w:color="auto" w:fill="095489"/>
      </w:tcPr>
    </w:tblStylePr>
    <w:tblStylePr w:type="band2Horz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  <w:insideV w:val="single" w:sz="8" w:space="0" w:color="095489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0E88DE"/>
        <w:left w:val="single" w:sz="8" w:space="0" w:color="0E88DE"/>
        <w:bottom w:val="single" w:sz="8" w:space="0" w:color="0E88DE"/>
        <w:right w:val="single" w:sz="8" w:space="0" w:color="0E88DE"/>
        <w:insideH w:val="single" w:sz="8" w:space="0" w:color="0E88D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E88DE"/>
          <w:left w:val="single" w:sz="8" w:space="0" w:color="0E88DE"/>
          <w:bottom w:val="single" w:sz="8" w:space="0" w:color="0E88DE"/>
          <w:right w:val="single" w:sz="8" w:space="0" w:color="0E88DE"/>
          <w:insideH w:val="nil"/>
          <w:insideV w:val="nil"/>
        </w:tcBorders>
        <w:shd w:val="clear" w:color="auto" w:fill="09548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/>
          <w:left w:val="single" w:sz="8" w:space="0" w:color="0E88DE"/>
          <w:bottom w:val="single" w:sz="8" w:space="0" w:color="0E88DE"/>
          <w:right w:val="single" w:sz="8" w:space="0" w:color="0E88D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0E88DE"/>
          <w:left w:val="single" w:sz="8" w:space="0" w:color="0E88DE"/>
          <w:bottom w:val="single" w:sz="8" w:space="0" w:color="0E88DE"/>
          <w:right w:val="single" w:sz="8" w:space="0" w:color="0E88DE"/>
          <w:insideH w:val="nil"/>
          <w:insideV w:val="nil"/>
        </w:tcBorders>
        <w:shd w:val="clear" w:color="auto" w:fill="09548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/>
          <w:left w:val="single" w:sz="8" w:space="0" w:color="0E88DE"/>
          <w:bottom w:val="single" w:sz="8" w:space="0" w:color="0E88DE"/>
          <w:right w:val="single" w:sz="8" w:space="0" w:color="0E88D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095489"/>
        <w:bottom w:val="single" w:sz="8" w:space="0" w:color="09548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95489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95489"/>
          <w:bottom w:val="single" w:sz="8" w:space="0" w:color="09548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/>
          <w:bottom w:val="single" w:sz="8" w:space="0" w:color="095489"/>
        </w:tcBorders>
      </w:tcPr>
    </w:tblStylePr>
    <w:tblStylePr w:type="band1Vert">
      <w:tblPr/>
      <w:tcPr>
        <w:shd w:val="clear" w:color="auto" w:fill="AAD8F9"/>
      </w:tcPr>
    </w:tblStylePr>
    <w:tblStylePr w:type="band1Horz">
      <w:tblPr/>
      <w:tcPr>
        <w:shd w:val="clear" w:color="auto" w:fill="AAD8F9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095489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95489"/>
          <w:bottom w:val="single" w:sz="8" w:space="0" w:color="09548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/>
          <w:bottom w:val="single" w:sz="8" w:space="0" w:color="095489"/>
        </w:tcBorders>
      </w:tcPr>
    </w:tblStylePr>
    <w:tblStylePr w:type="band1Vert">
      <w:tblPr/>
      <w:tcPr>
        <w:shd w:val="clear" w:color="auto" w:fill="AAD8F9"/>
      </w:tcPr>
    </w:tblStylePr>
    <w:tblStylePr w:type="band1Horz">
      <w:tblPr/>
      <w:tcPr>
        <w:shd w:val="clear" w:color="auto" w:fill="095489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9548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9548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95489"/>
        <w:left w:val="single" w:sz="8" w:space="0" w:color="095489"/>
        <w:bottom w:val="single" w:sz="8" w:space="0" w:color="095489"/>
        <w:right w:val="single" w:sz="8" w:space="0" w:color="09548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9548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9548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B6303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758D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8D7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0758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B63039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="Times New Roman"/>
      <w:bCs/>
      <w:color w:val="095489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="Times New Roman"/>
      <w:b/>
      <w:bCs/>
      <w:color w:val="095489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="Times New Roman"/>
      <w:b/>
      <w:bCs/>
      <w:color w:val="095489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753150"/>
    <w:rPr>
      <w:rFonts w:ascii="Arial" w:eastAsia="Times New Roman" w:hAnsi="Arial" w:cs="Times New Roman"/>
      <w:bCs/>
      <w:color w:val="095489"/>
      <w:sz w:val="64"/>
      <w:szCs w:val="28"/>
    </w:rPr>
  </w:style>
  <w:style w:type="character" w:customStyle="1" w:styleId="Heading2Char">
    <w:name w:val="Heading 2 Char"/>
    <w:link w:val="Heading2"/>
    <w:uiPriority w:val="9"/>
    <w:rsid w:val="002E5F5B"/>
    <w:rPr>
      <w:rFonts w:ascii="Arial" w:eastAsia="Times New Roman" w:hAnsi="Arial" w:cs="Times New Roman"/>
      <w:b/>
      <w:bCs/>
      <w:color w:val="095489"/>
      <w:sz w:val="30"/>
      <w:szCs w:val="26"/>
    </w:rPr>
  </w:style>
  <w:style w:type="character" w:customStyle="1" w:styleId="Heading3Char">
    <w:name w:val="Heading 3 Char"/>
    <w:link w:val="Heading3"/>
    <w:uiPriority w:val="9"/>
    <w:rsid w:val="0013662A"/>
    <w:rPr>
      <w:rFonts w:ascii="Arial" w:eastAsia="Times New Roman" w:hAnsi="Arial" w:cs="Times New Roman"/>
      <w:b/>
      <w:bCs/>
      <w:color w:val="095489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063E66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/>
          <w:left w:val="nil"/>
          <w:bottom w:val="single" w:sz="8" w:space="0" w:color="09548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/>
          <w:left w:val="nil"/>
          <w:bottom w:val="single" w:sz="8" w:space="0" w:color="09548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095489"/>
        <w:left w:val="single" w:sz="8" w:space="0" w:color="095489"/>
        <w:bottom w:val="single" w:sz="8" w:space="0" w:color="095489"/>
        <w:right w:val="single" w:sz="8" w:space="0" w:color="09548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9548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  <w:tblStylePr w:type="band1Horz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063E66"/>
    </w:rPr>
    <w:tblPr>
      <w:tblStyleRowBandSize w:val="1"/>
      <w:tblStyleColBandSize w:val="1"/>
      <w:tblBorders>
        <w:top w:val="single" w:sz="8" w:space="0" w:color="095489"/>
        <w:bottom w:val="single" w:sz="8" w:space="0" w:color="09548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/>
          <w:left w:val="nil"/>
          <w:bottom w:val="single" w:sz="8" w:space="0" w:color="09548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/>
          <w:left w:val="nil"/>
          <w:bottom w:val="single" w:sz="8" w:space="0" w:color="09548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09548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  <w:tblStylePr w:type="band1Horz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095489"/>
        <w:left w:val="single" w:sz="8" w:space="0" w:color="095489"/>
        <w:bottom w:val="single" w:sz="8" w:space="0" w:color="095489"/>
        <w:right w:val="single" w:sz="8" w:space="0" w:color="095489"/>
        <w:insideH w:val="single" w:sz="8" w:space="0" w:color="095489"/>
        <w:insideV w:val="single" w:sz="8" w:space="0" w:color="09548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95489"/>
          <w:left w:val="single" w:sz="8" w:space="0" w:color="095489"/>
          <w:bottom w:val="single" w:sz="18" w:space="0" w:color="095489"/>
          <w:right w:val="single" w:sz="8" w:space="0" w:color="095489"/>
          <w:insideH w:val="nil"/>
          <w:insideV w:val="single" w:sz="8" w:space="0" w:color="09548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95489"/>
          <w:left w:val="single" w:sz="8" w:space="0" w:color="095489"/>
          <w:bottom w:val="single" w:sz="8" w:space="0" w:color="095489"/>
          <w:right w:val="single" w:sz="8" w:space="0" w:color="095489"/>
          <w:insideH w:val="nil"/>
          <w:insideV w:val="single" w:sz="8" w:space="0" w:color="09548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  <w:tblStylePr w:type="band1Vert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  <w:shd w:val="clear" w:color="auto" w:fill="AAD8F9"/>
      </w:tcPr>
    </w:tblStylePr>
    <w:tblStylePr w:type="band1Horz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  <w:insideV w:val="single" w:sz="8" w:space="0" w:color="095489"/>
        </w:tcBorders>
        <w:shd w:val="clear" w:color="auto" w:fill="AAD8F9"/>
      </w:tcPr>
    </w:tblStylePr>
    <w:tblStylePr w:type="band2Horz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  <w:insideV w:val="single" w:sz="8" w:space="0" w:color="095489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095489"/>
          <w:left w:val="single" w:sz="8" w:space="0" w:color="095489"/>
          <w:bottom w:val="single" w:sz="18" w:space="0" w:color="095489"/>
          <w:right w:val="single" w:sz="8" w:space="0" w:color="095489"/>
          <w:insideH w:val="nil"/>
          <w:insideV w:val="single" w:sz="8" w:space="0" w:color="09548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95489"/>
          <w:left w:val="single" w:sz="8" w:space="0" w:color="095489"/>
          <w:bottom w:val="single" w:sz="8" w:space="0" w:color="095489"/>
          <w:right w:val="single" w:sz="8" w:space="0" w:color="095489"/>
          <w:insideH w:val="nil"/>
          <w:insideV w:val="single" w:sz="8" w:space="0" w:color="09548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</w:tcPr>
    </w:tblStylePr>
    <w:tblStylePr w:type="band1Vert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</w:tcBorders>
        <w:shd w:val="clear" w:color="auto" w:fill="AAD8F9"/>
      </w:tcPr>
    </w:tblStylePr>
    <w:tblStylePr w:type="band1Horz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  <w:insideV w:val="single" w:sz="8" w:space="0" w:color="095489"/>
        </w:tcBorders>
        <w:shd w:val="clear" w:color="auto" w:fill="095489"/>
      </w:tcPr>
    </w:tblStylePr>
    <w:tblStylePr w:type="band2Horz">
      <w:tblPr/>
      <w:tcPr>
        <w:tcBorders>
          <w:top w:val="single" w:sz="8" w:space="0" w:color="095489"/>
          <w:left w:val="single" w:sz="8" w:space="0" w:color="095489"/>
          <w:bottom w:val="single" w:sz="8" w:space="0" w:color="095489"/>
          <w:right w:val="single" w:sz="8" w:space="0" w:color="095489"/>
          <w:insideV w:val="single" w:sz="8" w:space="0" w:color="095489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0E88DE"/>
        <w:left w:val="single" w:sz="8" w:space="0" w:color="0E88DE"/>
        <w:bottom w:val="single" w:sz="8" w:space="0" w:color="0E88DE"/>
        <w:right w:val="single" w:sz="8" w:space="0" w:color="0E88DE"/>
        <w:insideH w:val="single" w:sz="8" w:space="0" w:color="0E88D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E88DE"/>
          <w:left w:val="single" w:sz="8" w:space="0" w:color="0E88DE"/>
          <w:bottom w:val="single" w:sz="8" w:space="0" w:color="0E88DE"/>
          <w:right w:val="single" w:sz="8" w:space="0" w:color="0E88DE"/>
          <w:insideH w:val="nil"/>
          <w:insideV w:val="nil"/>
        </w:tcBorders>
        <w:shd w:val="clear" w:color="auto" w:fill="09548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/>
          <w:left w:val="single" w:sz="8" w:space="0" w:color="0E88DE"/>
          <w:bottom w:val="single" w:sz="8" w:space="0" w:color="0E88DE"/>
          <w:right w:val="single" w:sz="8" w:space="0" w:color="0E88D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0E88DE"/>
          <w:left w:val="single" w:sz="8" w:space="0" w:color="0E88DE"/>
          <w:bottom w:val="single" w:sz="8" w:space="0" w:color="0E88DE"/>
          <w:right w:val="single" w:sz="8" w:space="0" w:color="0E88DE"/>
          <w:insideH w:val="nil"/>
          <w:insideV w:val="nil"/>
        </w:tcBorders>
        <w:shd w:val="clear" w:color="auto" w:fill="09548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/>
          <w:left w:val="single" w:sz="8" w:space="0" w:color="0E88DE"/>
          <w:bottom w:val="single" w:sz="8" w:space="0" w:color="0E88DE"/>
          <w:right w:val="single" w:sz="8" w:space="0" w:color="0E88D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095489"/>
        <w:bottom w:val="single" w:sz="8" w:space="0" w:color="09548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95489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95489"/>
          <w:bottom w:val="single" w:sz="8" w:space="0" w:color="09548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/>
          <w:bottom w:val="single" w:sz="8" w:space="0" w:color="095489"/>
        </w:tcBorders>
      </w:tcPr>
    </w:tblStylePr>
    <w:tblStylePr w:type="band1Vert">
      <w:tblPr/>
      <w:tcPr>
        <w:shd w:val="clear" w:color="auto" w:fill="AAD8F9"/>
      </w:tcPr>
    </w:tblStylePr>
    <w:tblStylePr w:type="band1Horz">
      <w:tblPr/>
      <w:tcPr>
        <w:shd w:val="clear" w:color="auto" w:fill="AAD8F9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095489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95489"/>
          <w:bottom w:val="single" w:sz="8" w:space="0" w:color="09548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/>
          <w:bottom w:val="single" w:sz="8" w:space="0" w:color="095489"/>
        </w:tcBorders>
      </w:tcPr>
    </w:tblStylePr>
    <w:tblStylePr w:type="band1Vert">
      <w:tblPr/>
      <w:tcPr>
        <w:shd w:val="clear" w:color="auto" w:fill="AAD8F9"/>
      </w:tcPr>
    </w:tblStylePr>
    <w:tblStylePr w:type="band1Horz">
      <w:tblPr/>
      <w:tcPr>
        <w:shd w:val="clear" w:color="auto" w:fill="095489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9548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9548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95489"/>
        <w:left w:val="single" w:sz="8" w:space="0" w:color="095489"/>
        <w:bottom w:val="single" w:sz="8" w:space="0" w:color="095489"/>
        <w:right w:val="single" w:sz="8" w:space="0" w:color="09548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9548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9548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B6303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758D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8D7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0758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.ecu.edu.au/ecuworks/627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ursing.health.wa.gov.au/planning/index.c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v.intranet.health.wa.gov.au/nursing/docs/planning/NHPPD_how_to_us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ursing.health.wa.gov.au/planning/workload_man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2.health.wa.gov.au/~/media/Files/Corporate/general%20documents/Awards%20and%20agreements/Nurses%20Registered%20and%20Enrolled%20Mental%20Health/WAHealthAustralianNursingFederationRegisteredNursesMidwivesEnrolledMentalHealthEnrolledNursesIndustrialAgreement2016.ashx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72200\Downloads\flyer_corporate_template_blu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BFA2-D96A-4D88-B660-1241AC17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flyer_corporate_template_blue.dot</Template>
  <TotalTime>1</TotalTime>
  <Pages>2</Pages>
  <Words>653</Words>
  <Characters>3738</Characters>
  <Application>Microsoft Office Word</Application>
  <DocSecurity>0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4382</CharactersWithSpaces>
  <SharedDoc>false</SharedDoc>
  <HLinks>
    <vt:vector size="12" baseType="variant">
      <vt:variant>
        <vt:i4>2293881</vt:i4>
      </vt:variant>
      <vt:variant>
        <vt:i4>0</vt:i4>
      </vt:variant>
      <vt:variant>
        <vt:i4>0</vt:i4>
      </vt:variant>
      <vt:variant>
        <vt:i4>5</vt:i4>
      </vt:variant>
      <vt:variant>
        <vt:lpwstr>http://www.healthywa.wa.gov.au/</vt:lpwstr>
      </vt:variant>
      <vt:variant>
        <vt:lpwstr/>
      </vt:variant>
      <vt:variant>
        <vt:i4>2293881</vt:i4>
      </vt:variant>
      <vt:variant>
        <vt:i4>6165</vt:i4>
      </vt:variant>
      <vt:variant>
        <vt:i4>1026</vt:i4>
      </vt:variant>
      <vt:variant>
        <vt:i4>4</vt:i4>
      </vt:variant>
      <vt:variant>
        <vt:lpwstr>http://www.healthywa.wa.gov.au/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Newton, Rebecca</dc:creator>
  <cp:keywords>flyer, template, doh</cp:keywords>
  <dc:description>Department of Health's flyer templates for consumers</dc:description>
  <cp:lastModifiedBy>Newton, Rebecca</cp:lastModifiedBy>
  <cp:revision>2</cp:revision>
  <cp:lastPrinted>2016-03-31T05:06:00Z</cp:lastPrinted>
  <dcterms:created xsi:type="dcterms:W3CDTF">2017-05-16T08:23:00Z</dcterms:created>
  <dcterms:modified xsi:type="dcterms:W3CDTF">2017-05-16T08:23:00Z</dcterms:modified>
</cp:coreProperties>
</file>